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>
      <w:pPr>
        <w:pStyle w:val="Level3"/>
        <w:numPr>
          <w:ilvl w:val="0"/>
          <w:numId w:val="8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15317703" w14:textId="77777777" w:rsidR="00EC24B5" w:rsidRPr="00EC24B5" w:rsidRDefault="00EC24B5" w:rsidP="00282827">
      <w:pPr>
        <w:pStyle w:val="Odstavecseseznamem"/>
        <w:ind w:left="567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EC24B5">
        <w:rPr>
          <w:rFonts w:ascii="Arial" w:hAnsi="Arial" w:cs="Arial"/>
          <w:sz w:val="22"/>
          <w:szCs w:val="22"/>
        </w:rPr>
        <w:t>11a</w:t>
      </w:r>
      <w:proofErr w:type="gramEnd"/>
      <w:r w:rsidRPr="00EC24B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proofErr w:type="spellStart"/>
      <w:r w:rsidRPr="00EC24B5">
        <w:rPr>
          <w:rFonts w:ascii="Arial" w:hAnsi="Arial" w:cs="Arial"/>
          <w:sz w:val="22"/>
          <w:szCs w:val="22"/>
        </w:rPr>
        <w:t>pro</w:t>
      </w:r>
      <w:proofErr w:type="spellEnd"/>
      <w:r w:rsidRPr="00EC24B5">
        <w:rPr>
          <w:rFonts w:ascii="Arial" w:hAnsi="Arial" w:cs="Arial"/>
          <w:sz w:val="22"/>
          <w:szCs w:val="22"/>
        </w:rPr>
        <w:t xml:space="preserve"> </w:t>
      </w:r>
      <w:r w:rsidRPr="00EC24B5">
        <w:rPr>
          <w:rFonts w:ascii="Arial" w:hAnsi="Arial" w:cs="Arial"/>
          <w:snapToGrid w:val="0"/>
          <w:sz w:val="22"/>
          <w:szCs w:val="22"/>
        </w:rPr>
        <w:t>Středočeský kraj a hl. m. Praha,</w:t>
      </w:r>
      <w:r w:rsidRPr="00EC24B5">
        <w:rPr>
          <w:rFonts w:ascii="Arial" w:hAnsi="Arial" w:cs="Arial"/>
          <w:sz w:val="22"/>
          <w:szCs w:val="22"/>
        </w:rPr>
        <w:t xml:space="preserve"> Pobočka </w:t>
      </w:r>
      <w:r w:rsidRPr="00EC24B5">
        <w:rPr>
          <w:rFonts w:ascii="Arial" w:hAnsi="Arial" w:cs="Arial"/>
          <w:snapToGrid w:val="0"/>
          <w:sz w:val="22"/>
          <w:szCs w:val="22"/>
        </w:rPr>
        <w:t>Kutná Hora, na adrese Benešova 97, 284 01 Kutná Hora</w:t>
      </w:r>
      <w:r w:rsidRPr="00EC24B5">
        <w:rPr>
          <w:rFonts w:ascii="Arial" w:hAnsi="Arial" w:cs="Arial"/>
          <w:sz w:val="22"/>
          <w:szCs w:val="22"/>
        </w:rPr>
        <w:t xml:space="preserve"> </w:t>
      </w:r>
    </w:p>
    <w:p w14:paraId="25AF617E" w14:textId="0E6BCF93" w:rsidR="00EC24B5" w:rsidRPr="00EC24B5" w:rsidRDefault="00EC24B5" w:rsidP="00282827">
      <w:pPr>
        <w:pStyle w:val="Odstavecseseznamem"/>
        <w:spacing w:before="0"/>
        <w:ind w:left="567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Zastoupená: Ing. Marianou </w:t>
      </w:r>
      <w:proofErr w:type="spellStart"/>
      <w:r w:rsidRPr="00EC24B5">
        <w:rPr>
          <w:rFonts w:ascii="Arial" w:hAnsi="Arial" w:cs="Arial"/>
          <w:sz w:val="22"/>
          <w:szCs w:val="22"/>
        </w:rPr>
        <w:t>Poborskou</w:t>
      </w:r>
      <w:proofErr w:type="spellEnd"/>
      <w:r w:rsidRPr="00EC24B5">
        <w:rPr>
          <w:rFonts w:ascii="Arial" w:hAnsi="Arial" w:cs="Arial"/>
          <w:sz w:val="22"/>
          <w:szCs w:val="22"/>
        </w:rPr>
        <w:t>, vedoucí pobočky</w:t>
      </w:r>
      <w:r w:rsidRPr="00EC24B5">
        <w:rPr>
          <w:rFonts w:ascii="Arial" w:hAnsi="Arial" w:cs="Arial"/>
          <w:iCs/>
          <w:sz w:val="22"/>
          <w:szCs w:val="22"/>
        </w:rPr>
        <w:t xml:space="preserve"> </w:t>
      </w:r>
    </w:p>
    <w:p w14:paraId="543BE97A" w14:textId="77777777" w:rsidR="00EC24B5" w:rsidRPr="00EC24B5" w:rsidRDefault="00EC24B5" w:rsidP="00282827">
      <w:pPr>
        <w:pStyle w:val="Odstavecseseznamem"/>
        <w:ind w:left="567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Ve smluvních záležitostech zastoupená: Ing. Mariana Poborská, vedoucí pobočky </w:t>
      </w:r>
    </w:p>
    <w:p w14:paraId="1978CAD5" w14:textId="77777777" w:rsidR="00EC24B5" w:rsidRPr="00EC24B5" w:rsidRDefault="00EC24B5" w:rsidP="00282827">
      <w:pPr>
        <w:pStyle w:val="Odstavecseseznamem"/>
        <w:tabs>
          <w:tab w:val="left" w:pos="4536"/>
        </w:tabs>
        <w:spacing w:after="120"/>
        <w:ind w:left="567"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V technických záležitostech zastoupená:</w:t>
      </w:r>
      <w:r w:rsidRPr="00EC24B5">
        <w:rPr>
          <w:rFonts w:ascii="Arial" w:hAnsi="Arial" w:cs="Arial"/>
          <w:snapToGrid w:val="0"/>
          <w:sz w:val="22"/>
          <w:szCs w:val="22"/>
        </w:rPr>
        <w:t xml:space="preserve"> Karel Svoboda, Pobočka Kutná Hora</w:t>
      </w:r>
      <w:r w:rsidRPr="00EC24B5">
        <w:rPr>
          <w:rFonts w:ascii="Arial" w:hAnsi="Arial" w:cs="Arial"/>
          <w:iCs/>
          <w:sz w:val="22"/>
          <w:szCs w:val="22"/>
        </w:rPr>
        <w:t xml:space="preserve"> </w:t>
      </w:r>
    </w:p>
    <w:p w14:paraId="4A0A1B3B" w14:textId="77777777" w:rsidR="00EC24B5" w:rsidRPr="00EC24B5" w:rsidRDefault="00EC24B5" w:rsidP="00282827">
      <w:pPr>
        <w:pStyle w:val="Odstavecseseznamem"/>
        <w:tabs>
          <w:tab w:val="left" w:pos="4536"/>
        </w:tabs>
        <w:spacing w:after="120"/>
        <w:ind w:left="567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0C375B6" w14:textId="77777777" w:rsidR="00EC24B5" w:rsidRPr="00EC24B5" w:rsidRDefault="00EC24B5" w:rsidP="00282827">
      <w:pPr>
        <w:pStyle w:val="Odstavecseseznamem"/>
        <w:tabs>
          <w:tab w:val="left" w:pos="4536"/>
        </w:tabs>
        <w:spacing w:after="120"/>
        <w:ind w:left="567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 xml:space="preserve">Tel.: </w:t>
      </w:r>
      <w:r w:rsidRPr="00EC24B5">
        <w:rPr>
          <w:rFonts w:ascii="Arial" w:hAnsi="Arial" w:cs="Arial"/>
          <w:snapToGrid w:val="0"/>
          <w:sz w:val="22"/>
          <w:szCs w:val="22"/>
        </w:rPr>
        <w:t>725 949 641</w:t>
      </w:r>
    </w:p>
    <w:p w14:paraId="65878156" w14:textId="77777777" w:rsidR="00EC24B5" w:rsidRPr="00EC24B5" w:rsidRDefault="00EC24B5" w:rsidP="00282827">
      <w:pPr>
        <w:pStyle w:val="Odstavecseseznamem"/>
        <w:widowControl w:val="0"/>
        <w:tabs>
          <w:tab w:val="left" w:pos="4536"/>
        </w:tabs>
        <w:spacing w:after="120"/>
        <w:ind w:left="567"/>
        <w:contextualSpacing/>
        <w:rPr>
          <w:rFonts w:ascii="Arial" w:hAnsi="Arial" w:cs="Arial"/>
          <w:sz w:val="22"/>
          <w:szCs w:val="22"/>
        </w:rPr>
      </w:pPr>
      <w:r w:rsidRPr="00EC24B5">
        <w:rPr>
          <w:rFonts w:ascii="Arial" w:hAnsi="Arial" w:cs="Arial"/>
          <w:sz w:val="22"/>
          <w:szCs w:val="22"/>
        </w:rPr>
        <w:t>E-mail:</w:t>
      </w:r>
      <w:r w:rsidRPr="00EC24B5">
        <w:rPr>
          <w:rFonts w:ascii="Arial" w:hAnsi="Arial" w:cs="Arial"/>
          <w:snapToGrid w:val="0"/>
          <w:sz w:val="22"/>
          <w:szCs w:val="22"/>
        </w:rPr>
        <w:t xml:space="preserve"> k.svoboda@spucr.cz</w:t>
      </w:r>
    </w:p>
    <w:p w14:paraId="1A4CEAA3" w14:textId="77777777" w:rsidR="00797092" w:rsidRPr="00014665" w:rsidRDefault="00797092" w:rsidP="00282827">
      <w:pPr>
        <w:spacing w:after="12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>
      <w:pPr>
        <w:numPr>
          <w:ilvl w:val="0"/>
          <w:numId w:val="8"/>
        </w:numPr>
        <w:spacing w:after="12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282827">
      <w:pPr>
        <w:tabs>
          <w:tab w:val="left" w:pos="4536"/>
        </w:tabs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282827">
      <w:pPr>
        <w:spacing w:after="12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2726B898" w:rsidR="00D9408D" w:rsidRPr="00014665" w:rsidRDefault="00D9408D" w:rsidP="00282827">
      <w:pPr>
        <w:pStyle w:val="Textkomente"/>
        <w:widowControl w:val="0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370C8DE0" w:rsidR="006D681C" w:rsidRPr="00014665" w:rsidRDefault="111BF58B">
      <w:pPr>
        <w:pStyle w:val="Odstavec"/>
        <w:numPr>
          <w:ilvl w:val="1"/>
          <w:numId w:val="2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pozemků </w:t>
      </w:r>
      <w:r w:rsidR="00282827">
        <w:rPr>
          <w:rFonts w:ascii="Arial" w:hAnsi="Arial" w:cs="Arial"/>
          <w:snapToGrid w:val="0"/>
          <w:sz w:val="22"/>
          <w:szCs w:val="22"/>
        </w:rPr>
        <w:t>2023 – okres Kutná Hora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4610934" w:rsidR="00C05583" w:rsidRPr="00014665" w:rsidRDefault="000C115B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</w:t>
      </w:r>
      <w:r w:rsidR="00AF0FAA">
        <w:rPr>
          <w:rFonts w:ascii="Arial" w:hAnsi="Arial" w:cs="Arial"/>
          <w:sz w:val="22"/>
          <w:szCs w:val="22"/>
        </w:rPr>
        <w:t xml:space="preserve"> rozdělené na </w:t>
      </w:r>
      <w:proofErr w:type="spellStart"/>
      <w:r w:rsidR="00AF0FAA">
        <w:rPr>
          <w:rFonts w:ascii="Arial" w:hAnsi="Arial" w:cs="Arial"/>
          <w:sz w:val="22"/>
          <w:szCs w:val="22"/>
        </w:rPr>
        <w:t>jednostlivá</w:t>
      </w:r>
      <w:proofErr w:type="spellEnd"/>
      <w:r w:rsidR="00AF0FAA">
        <w:rPr>
          <w:rFonts w:ascii="Arial" w:hAnsi="Arial" w:cs="Arial"/>
          <w:sz w:val="22"/>
          <w:szCs w:val="22"/>
        </w:rPr>
        <w:t xml:space="preserve"> plnění (</w:t>
      </w:r>
      <w:r w:rsidR="007C4413">
        <w:rPr>
          <w:rFonts w:ascii="Arial" w:hAnsi="Arial" w:cs="Arial"/>
          <w:sz w:val="22"/>
          <w:szCs w:val="22"/>
        </w:rPr>
        <w:t>„</w:t>
      </w:r>
      <w:r w:rsidR="00AF0FAA" w:rsidRPr="007C4413">
        <w:rPr>
          <w:rFonts w:ascii="Arial" w:hAnsi="Arial" w:cs="Arial"/>
          <w:b/>
          <w:bCs/>
          <w:sz w:val="22"/>
          <w:szCs w:val="22"/>
        </w:rPr>
        <w:t>Části díla“</w:t>
      </w:r>
      <w:r w:rsidR="00AF0FAA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>
      <w:pPr>
        <w:pStyle w:val="Odstavecseseznamem"/>
        <w:numPr>
          <w:ilvl w:val="1"/>
          <w:numId w:val="2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>
      <w:pPr>
        <w:pStyle w:val="Zkladntextodsazen2"/>
        <w:numPr>
          <w:ilvl w:val="0"/>
          <w:numId w:val="1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>
      <w:pPr>
        <w:pStyle w:val="Odstavecseseznamem"/>
        <w:numPr>
          <w:ilvl w:val="1"/>
          <w:numId w:val="2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>
      <w:pPr>
        <w:pStyle w:val="Odstavecseseznamem"/>
        <w:numPr>
          <w:ilvl w:val="1"/>
          <w:numId w:val="2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746F69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776375">
      <w:pPr>
        <w:pStyle w:val="Nadpis1"/>
        <w:numPr>
          <w:ilvl w:val="0"/>
          <w:numId w:val="0"/>
        </w:numPr>
        <w:spacing w:before="0" w:after="24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>
      <w:pPr>
        <w:pStyle w:val="Odstavecseseznamem"/>
        <w:numPr>
          <w:ilvl w:val="1"/>
          <w:numId w:val="5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62BD6E3E" w:rsidR="00C05583" w:rsidRPr="00014665" w:rsidRDefault="00C05583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</w:t>
      </w:r>
      <w:r w:rsidR="00420374" w:rsidRPr="00014665">
        <w:rPr>
          <w:rFonts w:ascii="Arial" w:hAnsi="Arial" w:cs="Arial"/>
          <w:sz w:val="22"/>
          <w:szCs w:val="22"/>
        </w:rPr>
        <w:t xml:space="preserve">pro </w:t>
      </w:r>
      <w:r w:rsidR="00420374">
        <w:rPr>
          <w:rFonts w:ascii="Arial" w:hAnsi="Arial" w:cs="Arial"/>
          <w:sz w:val="22"/>
          <w:szCs w:val="22"/>
        </w:rPr>
        <w:t>Středočeský kraj a hl. m. Praha</w:t>
      </w:r>
      <w:r w:rsidR="00420374" w:rsidRPr="00014665">
        <w:rPr>
          <w:rFonts w:ascii="Arial" w:hAnsi="Arial" w:cs="Arial"/>
          <w:sz w:val="22"/>
          <w:szCs w:val="22"/>
        </w:rPr>
        <w:t xml:space="preserve">, Pobočky </w:t>
      </w:r>
      <w:r w:rsidR="00420374">
        <w:rPr>
          <w:rFonts w:ascii="Arial" w:hAnsi="Arial" w:cs="Arial"/>
          <w:sz w:val="22"/>
          <w:szCs w:val="22"/>
        </w:rPr>
        <w:t>Kutná Hora</w:t>
      </w:r>
      <w:r w:rsidR="001730B6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>
      <w:pPr>
        <w:pStyle w:val="Odstavecseseznamem"/>
        <w:numPr>
          <w:ilvl w:val="1"/>
          <w:numId w:val="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>
      <w:pPr>
        <w:pStyle w:val="Zkladntext2"/>
        <w:numPr>
          <w:ilvl w:val="1"/>
          <w:numId w:val="5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E5B672A" w:rsidR="00C05583" w:rsidRPr="00014665" w:rsidRDefault="004A2C5E">
      <w:pPr>
        <w:pStyle w:val="Zkladntext2"/>
        <w:numPr>
          <w:ilvl w:val="1"/>
          <w:numId w:val="5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D64BCC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7F1FD6">
      <w:pPr>
        <w:pStyle w:val="Nadpis1"/>
        <w:numPr>
          <w:ilvl w:val="0"/>
          <w:numId w:val="0"/>
        </w:numPr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CFBE0B2" w:rsidR="00C05583" w:rsidRPr="00014665" w:rsidRDefault="004A2C5E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0507FF" w:rsidRPr="000507FF">
        <w:rPr>
          <w:rFonts w:ascii="Arial" w:hAnsi="Arial" w:cs="Arial"/>
          <w:sz w:val="22"/>
          <w:szCs w:val="22"/>
        </w:rPr>
        <w:t xml:space="preserve">Bahno,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Bojmany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Březová u Úmonína,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Chroustkov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Janovická Lhota,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Klucké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 Chvalovice, Lomec u Úmonína,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Neškaredice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Nová Lhota, Ostrov u Bohdanče, Řendějov, Vavřinec, Velká Skalice, Zbraslavice, Zdeslavice u Černín,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Zehuby</w:t>
      </w:r>
      <w:proofErr w:type="spellEnd"/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>
      <w:pPr>
        <w:pStyle w:val="Odstavecseseznamem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>
      <w:pPr>
        <w:pStyle w:val="Zkladntext"/>
        <w:numPr>
          <w:ilvl w:val="1"/>
          <w:numId w:val="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>
      <w:pPr>
        <w:pStyle w:val="Zkladntextodsazen2"/>
        <w:numPr>
          <w:ilvl w:val="1"/>
          <w:numId w:val="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479D798" w:rsidR="00643337" w:rsidRPr="00014665" w:rsidRDefault="00FD4817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776375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9D29CD" w:rsidR="002B5853" w:rsidRPr="00014665" w:rsidRDefault="00A87320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420374">
        <w:rPr>
          <w:rFonts w:ascii="Arial" w:hAnsi="Arial" w:cs="Arial"/>
          <w:sz w:val="22"/>
          <w:szCs w:val="22"/>
        </w:rPr>
        <w:t>Středočeský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>kraj</w:t>
      </w:r>
      <w:r w:rsidR="00420374">
        <w:rPr>
          <w:rFonts w:ascii="Arial" w:hAnsi="Arial" w:cs="Arial"/>
          <w:sz w:val="22"/>
          <w:szCs w:val="22"/>
        </w:rPr>
        <w:t xml:space="preserve"> a hl. m. </w:t>
      </w:r>
      <w:r w:rsidR="00420374">
        <w:rPr>
          <w:rFonts w:ascii="Arial" w:hAnsi="Arial" w:cs="Arial"/>
          <w:sz w:val="22"/>
          <w:szCs w:val="22"/>
        </w:rPr>
        <w:lastRenderedPageBreak/>
        <w:t>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420374">
        <w:rPr>
          <w:rFonts w:ascii="Arial" w:hAnsi="Arial" w:cs="Arial"/>
          <w:sz w:val="22"/>
          <w:szCs w:val="22"/>
        </w:rPr>
        <w:t>Kutná Hora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420374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>
      <w:pPr>
        <w:pStyle w:val="Zhlav"/>
        <w:numPr>
          <w:ilvl w:val="1"/>
          <w:numId w:val="9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>
      <w:pPr>
        <w:pStyle w:val="Zhlav"/>
        <w:numPr>
          <w:ilvl w:val="1"/>
          <w:numId w:val="16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5868FDB" w:rsidR="00FD4817" w:rsidRDefault="003C444A">
      <w:pPr>
        <w:pStyle w:val="Zhlav"/>
        <w:numPr>
          <w:ilvl w:val="1"/>
          <w:numId w:val="16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B65393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39FC1B1D" w14:textId="58813310" w:rsidR="00B65393" w:rsidRDefault="00C67EAB" w:rsidP="00B65393">
      <w:pPr>
        <w:pStyle w:val="Zhlav"/>
        <w:numPr>
          <w:ilvl w:val="1"/>
          <w:numId w:val="1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</w:t>
      </w:r>
      <w:proofErr w:type="gramStart"/>
      <w:r>
        <w:rPr>
          <w:rFonts w:ascii="Arial" w:hAnsi="Arial" w:cs="Arial"/>
          <w:sz w:val="22"/>
          <w:szCs w:val="22"/>
        </w:rPr>
        <w:t xml:space="preserve">I - </w:t>
      </w:r>
      <w:r w:rsidR="00670D1F">
        <w:rPr>
          <w:rFonts w:ascii="Arial" w:hAnsi="Arial" w:cs="Arial"/>
          <w:sz w:val="22"/>
          <w:szCs w:val="22"/>
        </w:rPr>
        <w:t>v</w:t>
      </w:r>
      <w:r w:rsidR="00B65393">
        <w:rPr>
          <w:rFonts w:ascii="Arial" w:hAnsi="Arial" w:cs="Arial"/>
          <w:sz w:val="22"/>
          <w:szCs w:val="22"/>
        </w:rPr>
        <w:t>ytyčení</w:t>
      </w:r>
      <w:proofErr w:type="gramEnd"/>
      <w:r w:rsidR="00B6539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65393">
        <w:rPr>
          <w:rFonts w:ascii="Arial" w:hAnsi="Arial" w:cs="Arial"/>
          <w:sz w:val="22"/>
          <w:szCs w:val="22"/>
        </w:rPr>
        <w:t>k.ú</w:t>
      </w:r>
      <w:proofErr w:type="spellEnd"/>
      <w:r w:rsidR="00B65393">
        <w:rPr>
          <w:rFonts w:ascii="Arial" w:hAnsi="Arial" w:cs="Arial"/>
          <w:sz w:val="22"/>
          <w:szCs w:val="22"/>
        </w:rPr>
        <w:t xml:space="preserve">. Ostrov u Bohdanče </w:t>
      </w:r>
      <w:r w:rsidR="0065621A">
        <w:rPr>
          <w:rFonts w:ascii="Arial" w:hAnsi="Arial" w:cs="Arial"/>
          <w:sz w:val="22"/>
          <w:szCs w:val="22"/>
        </w:rPr>
        <w:t>(</w:t>
      </w:r>
      <w:r w:rsidR="00574B22">
        <w:rPr>
          <w:rFonts w:ascii="Arial" w:hAnsi="Arial" w:cs="Arial"/>
          <w:sz w:val="22"/>
          <w:szCs w:val="22"/>
        </w:rPr>
        <w:t>18</w:t>
      </w:r>
      <w:r w:rsidR="0065621A">
        <w:rPr>
          <w:rFonts w:ascii="Arial" w:hAnsi="Arial" w:cs="Arial"/>
          <w:sz w:val="22"/>
          <w:szCs w:val="22"/>
        </w:rPr>
        <w:t>5</w:t>
      </w:r>
      <w:r w:rsidR="00574B22">
        <w:rPr>
          <w:rFonts w:ascii="Arial" w:hAnsi="Arial" w:cs="Arial"/>
          <w:sz w:val="22"/>
          <w:szCs w:val="22"/>
        </w:rPr>
        <w:t xml:space="preserve"> MJ</w:t>
      </w:r>
      <w:r w:rsidR="0065621A">
        <w:rPr>
          <w:rFonts w:ascii="Arial" w:hAnsi="Arial" w:cs="Arial"/>
          <w:sz w:val="22"/>
          <w:szCs w:val="22"/>
        </w:rPr>
        <w:t>)</w:t>
      </w:r>
      <w:r w:rsidR="00574B22">
        <w:rPr>
          <w:rFonts w:ascii="Arial" w:hAnsi="Arial" w:cs="Arial"/>
          <w:sz w:val="22"/>
          <w:szCs w:val="22"/>
        </w:rPr>
        <w:t xml:space="preserve"> – 20.1</w:t>
      </w:r>
      <w:r w:rsidR="00B82087">
        <w:rPr>
          <w:rFonts w:ascii="Arial" w:hAnsi="Arial" w:cs="Arial"/>
          <w:sz w:val="22"/>
          <w:szCs w:val="22"/>
        </w:rPr>
        <w:t>1</w:t>
      </w:r>
      <w:r w:rsidR="00574B22">
        <w:rPr>
          <w:rFonts w:ascii="Arial" w:hAnsi="Arial" w:cs="Arial"/>
          <w:sz w:val="22"/>
          <w:szCs w:val="22"/>
        </w:rPr>
        <w:t>.2023</w:t>
      </w:r>
    </w:p>
    <w:p w14:paraId="03376EB1" w14:textId="52F3BFFE" w:rsidR="00574B22" w:rsidRPr="00014665" w:rsidRDefault="00C67EAB" w:rsidP="00B65393">
      <w:pPr>
        <w:pStyle w:val="Zhlav"/>
        <w:numPr>
          <w:ilvl w:val="1"/>
          <w:numId w:val="1"/>
        </w:numPr>
        <w:tabs>
          <w:tab w:val="clear" w:pos="4536"/>
          <w:tab w:val="clear" w:pos="9072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</w:t>
      </w:r>
      <w:proofErr w:type="gramStart"/>
      <w:r>
        <w:rPr>
          <w:rFonts w:ascii="Arial" w:hAnsi="Arial" w:cs="Arial"/>
          <w:sz w:val="22"/>
          <w:szCs w:val="22"/>
        </w:rPr>
        <w:t xml:space="preserve">II - </w:t>
      </w:r>
      <w:r w:rsidR="00670D1F">
        <w:rPr>
          <w:rFonts w:ascii="Arial" w:hAnsi="Arial" w:cs="Arial"/>
          <w:sz w:val="22"/>
          <w:szCs w:val="22"/>
        </w:rPr>
        <w:t>v</w:t>
      </w:r>
      <w:r w:rsidR="00574B22">
        <w:rPr>
          <w:rFonts w:ascii="Arial" w:hAnsi="Arial" w:cs="Arial"/>
          <w:sz w:val="22"/>
          <w:szCs w:val="22"/>
        </w:rPr>
        <w:t>ytyčení</w:t>
      </w:r>
      <w:proofErr w:type="gramEnd"/>
      <w:r w:rsidR="00574B22">
        <w:rPr>
          <w:rFonts w:ascii="Arial" w:hAnsi="Arial" w:cs="Arial"/>
          <w:sz w:val="22"/>
          <w:szCs w:val="22"/>
        </w:rPr>
        <w:t xml:space="preserve"> ostatní </w:t>
      </w:r>
      <w:proofErr w:type="spellStart"/>
      <w:r w:rsidR="00574B22">
        <w:rPr>
          <w:rFonts w:ascii="Arial" w:hAnsi="Arial" w:cs="Arial"/>
          <w:sz w:val="22"/>
          <w:szCs w:val="22"/>
        </w:rPr>
        <w:t>k.ú</w:t>
      </w:r>
      <w:proofErr w:type="spellEnd"/>
      <w:r w:rsidR="00574B22">
        <w:rPr>
          <w:rFonts w:ascii="Arial" w:hAnsi="Arial" w:cs="Arial"/>
          <w:sz w:val="22"/>
          <w:szCs w:val="22"/>
        </w:rPr>
        <w:t xml:space="preserve">. </w:t>
      </w:r>
      <w:r w:rsidR="0065621A">
        <w:rPr>
          <w:rFonts w:ascii="Arial" w:hAnsi="Arial" w:cs="Arial"/>
          <w:sz w:val="22"/>
          <w:szCs w:val="22"/>
        </w:rPr>
        <w:t xml:space="preserve">- </w:t>
      </w:r>
      <w:r w:rsidR="006A108E" w:rsidRPr="000507FF">
        <w:rPr>
          <w:rFonts w:ascii="Arial" w:hAnsi="Arial" w:cs="Arial"/>
          <w:sz w:val="22"/>
          <w:szCs w:val="22"/>
        </w:rPr>
        <w:t xml:space="preserve">Bahno, </w:t>
      </w:r>
      <w:proofErr w:type="spellStart"/>
      <w:r w:rsidR="006A108E" w:rsidRPr="000507FF">
        <w:rPr>
          <w:rFonts w:ascii="Arial" w:hAnsi="Arial" w:cs="Arial"/>
          <w:sz w:val="22"/>
          <w:szCs w:val="22"/>
        </w:rPr>
        <w:t>Bojmany</w:t>
      </w:r>
      <w:proofErr w:type="spellEnd"/>
      <w:r w:rsidR="006A108E" w:rsidRPr="000507FF">
        <w:rPr>
          <w:rFonts w:ascii="Arial" w:hAnsi="Arial" w:cs="Arial"/>
          <w:sz w:val="22"/>
          <w:szCs w:val="22"/>
        </w:rPr>
        <w:t xml:space="preserve">, Březová u Úmonína, </w:t>
      </w:r>
      <w:proofErr w:type="spellStart"/>
      <w:r w:rsidR="006A108E" w:rsidRPr="000507FF">
        <w:rPr>
          <w:rFonts w:ascii="Arial" w:hAnsi="Arial" w:cs="Arial"/>
          <w:sz w:val="22"/>
          <w:szCs w:val="22"/>
        </w:rPr>
        <w:t>Chroustkov</w:t>
      </w:r>
      <w:proofErr w:type="spellEnd"/>
      <w:r w:rsidR="006A108E" w:rsidRPr="000507FF">
        <w:rPr>
          <w:rFonts w:ascii="Arial" w:hAnsi="Arial" w:cs="Arial"/>
          <w:sz w:val="22"/>
          <w:szCs w:val="22"/>
        </w:rPr>
        <w:t xml:space="preserve">, Janovická Lhota, </w:t>
      </w:r>
      <w:proofErr w:type="spellStart"/>
      <w:r w:rsidR="006A108E" w:rsidRPr="000507FF">
        <w:rPr>
          <w:rFonts w:ascii="Arial" w:hAnsi="Arial" w:cs="Arial"/>
          <w:sz w:val="22"/>
          <w:szCs w:val="22"/>
        </w:rPr>
        <w:t>Klucké</w:t>
      </w:r>
      <w:proofErr w:type="spellEnd"/>
      <w:r w:rsidR="006A108E" w:rsidRPr="000507FF">
        <w:rPr>
          <w:rFonts w:ascii="Arial" w:hAnsi="Arial" w:cs="Arial"/>
          <w:sz w:val="22"/>
          <w:szCs w:val="22"/>
        </w:rPr>
        <w:t xml:space="preserve"> Chvalovice, Lomec u Úmonína, </w:t>
      </w:r>
      <w:proofErr w:type="spellStart"/>
      <w:r w:rsidR="006A108E" w:rsidRPr="000507FF">
        <w:rPr>
          <w:rFonts w:ascii="Arial" w:hAnsi="Arial" w:cs="Arial"/>
          <w:sz w:val="22"/>
          <w:szCs w:val="22"/>
        </w:rPr>
        <w:t>Neškaredice</w:t>
      </w:r>
      <w:proofErr w:type="spellEnd"/>
      <w:r w:rsidR="006A108E" w:rsidRPr="000507FF">
        <w:rPr>
          <w:rFonts w:ascii="Arial" w:hAnsi="Arial" w:cs="Arial"/>
          <w:sz w:val="22"/>
          <w:szCs w:val="22"/>
        </w:rPr>
        <w:t xml:space="preserve">, Nová Lhota, Řendějov, Vavřinec, Velká Skalice, Zbraslavice, Zdeslavice u Černín, </w:t>
      </w:r>
      <w:proofErr w:type="spellStart"/>
      <w:r w:rsidR="006A108E" w:rsidRPr="000507FF">
        <w:rPr>
          <w:rFonts w:ascii="Arial" w:hAnsi="Arial" w:cs="Arial"/>
          <w:sz w:val="22"/>
          <w:szCs w:val="22"/>
        </w:rPr>
        <w:t>Zehuby</w:t>
      </w:r>
      <w:proofErr w:type="spellEnd"/>
      <w:r w:rsidR="006A108E">
        <w:rPr>
          <w:rFonts w:ascii="Arial" w:hAnsi="Arial" w:cs="Arial"/>
          <w:sz w:val="22"/>
          <w:szCs w:val="22"/>
        </w:rPr>
        <w:t xml:space="preserve"> </w:t>
      </w:r>
      <w:r w:rsidR="0065621A">
        <w:rPr>
          <w:rFonts w:ascii="Arial" w:hAnsi="Arial" w:cs="Arial"/>
          <w:sz w:val="22"/>
          <w:szCs w:val="22"/>
        </w:rPr>
        <w:t>(</w:t>
      </w:r>
      <w:r w:rsidR="00864FCE">
        <w:rPr>
          <w:rFonts w:ascii="Arial" w:hAnsi="Arial" w:cs="Arial"/>
          <w:sz w:val="22"/>
          <w:szCs w:val="22"/>
        </w:rPr>
        <w:t>332 MJ</w:t>
      </w:r>
      <w:r w:rsidR="0065621A">
        <w:rPr>
          <w:rFonts w:ascii="Arial" w:hAnsi="Arial" w:cs="Arial"/>
          <w:sz w:val="22"/>
          <w:szCs w:val="22"/>
        </w:rPr>
        <w:t>)</w:t>
      </w:r>
      <w:r w:rsidR="00864FCE">
        <w:rPr>
          <w:rFonts w:ascii="Arial" w:hAnsi="Arial" w:cs="Arial"/>
          <w:sz w:val="22"/>
          <w:szCs w:val="22"/>
        </w:rPr>
        <w:t xml:space="preserve"> </w:t>
      </w:r>
      <w:r w:rsidR="00A31714">
        <w:rPr>
          <w:rFonts w:ascii="Arial" w:hAnsi="Arial" w:cs="Arial"/>
          <w:sz w:val="22"/>
          <w:szCs w:val="22"/>
        </w:rPr>
        <w:t>–</w:t>
      </w:r>
      <w:r w:rsidR="00864FCE">
        <w:rPr>
          <w:rFonts w:ascii="Arial" w:hAnsi="Arial" w:cs="Arial"/>
          <w:sz w:val="22"/>
          <w:szCs w:val="22"/>
        </w:rPr>
        <w:t xml:space="preserve"> </w:t>
      </w:r>
      <w:r w:rsidR="00B76B83">
        <w:rPr>
          <w:rFonts w:ascii="Arial" w:hAnsi="Arial" w:cs="Arial"/>
          <w:sz w:val="22"/>
          <w:szCs w:val="22"/>
        </w:rPr>
        <w:t>29</w:t>
      </w:r>
      <w:r w:rsidR="00A31714">
        <w:rPr>
          <w:rFonts w:ascii="Arial" w:hAnsi="Arial" w:cs="Arial"/>
          <w:sz w:val="22"/>
          <w:szCs w:val="22"/>
        </w:rPr>
        <w:t xml:space="preserve">. </w:t>
      </w:r>
      <w:r w:rsidR="00210602">
        <w:rPr>
          <w:rFonts w:ascii="Arial" w:hAnsi="Arial" w:cs="Arial"/>
          <w:sz w:val="22"/>
          <w:szCs w:val="22"/>
        </w:rPr>
        <w:t>3</w:t>
      </w:r>
      <w:r w:rsidR="00A31714">
        <w:rPr>
          <w:rFonts w:ascii="Arial" w:hAnsi="Arial" w:cs="Arial"/>
          <w:sz w:val="22"/>
          <w:szCs w:val="22"/>
        </w:rPr>
        <w:t>. 202</w:t>
      </w:r>
      <w:r w:rsidR="00670D1F">
        <w:rPr>
          <w:rFonts w:ascii="Arial" w:hAnsi="Arial" w:cs="Arial"/>
          <w:sz w:val="22"/>
          <w:szCs w:val="22"/>
        </w:rPr>
        <w:t>4</w:t>
      </w:r>
    </w:p>
    <w:p w14:paraId="07965649" w14:textId="573BCBB7" w:rsidR="00FD4817" w:rsidRPr="00014665" w:rsidRDefault="00FD4817">
      <w:pPr>
        <w:pStyle w:val="Zhlav"/>
        <w:numPr>
          <w:ilvl w:val="1"/>
          <w:numId w:val="16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D6451F" w:rsidRPr="000507FF">
        <w:rPr>
          <w:rFonts w:ascii="Arial" w:hAnsi="Arial" w:cs="Arial"/>
          <w:sz w:val="22"/>
          <w:szCs w:val="22"/>
        </w:rPr>
        <w:t>:</w:t>
      </w:r>
      <w:r w:rsidR="000507FF" w:rsidRPr="000507F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k.ú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. Bahno,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Bojmany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Březová u Úmonína,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Chroustkov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Janovická Lhota,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Klucké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 Chvalovice, Lomec u Úmonína,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Neškaredice</w:t>
      </w:r>
      <w:proofErr w:type="spellEnd"/>
      <w:r w:rsidR="000507FF" w:rsidRPr="000507FF">
        <w:rPr>
          <w:rFonts w:ascii="Arial" w:hAnsi="Arial" w:cs="Arial"/>
          <w:sz w:val="22"/>
          <w:szCs w:val="22"/>
        </w:rPr>
        <w:t xml:space="preserve">, Nová Lhota, Ostrov u Bohdanče, Řendějov, Vavřinec, Velká Skalice, Zbraslavice, Zdeslavice u Černín, </w:t>
      </w:r>
      <w:proofErr w:type="spellStart"/>
      <w:r w:rsidR="000507FF" w:rsidRPr="000507FF">
        <w:rPr>
          <w:rFonts w:ascii="Arial" w:hAnsi="Arial" w:cs="Arial"/>
          <w:sz w:val="22"/>
          <w:szCs w:val="22"/>
        </w:rPr>
        <w:t>Zehuby</w:t>
      </w:r>
      <w:proofErr w:type="spellEnd"/>
      <w:r w:rsidR="00D6451F" w:rsidRPr="000507F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okres:</w:t>
      </w:r>
      <w:r w:rsidR="008468CA">
        <w:rPr>
          <w:rFonts w:ascii="Arial" w:hAnsi="Arial" w:cs="Arial"/>
          <w:sz w:val="22"/>
          <w:szCs w:val="22"/>
        </w:rPr>
        <w:t xml:space="preserve"> Kutná Hora</w:t>
      </w:r>
      <w:r w:rsidR="00500B0F" w:rsidRPr="00014665">
        <w:rPr>
          <w:rFonts w:ascii="Arial" w:hAnsi="Arial" w:cs="Arial"/>
          <w:sz w:val="22"/>
          <w:szCs w:val="22"/>
        </w:rPr>
        <w:t>.</w:t>
      </w:r>
    </w:p>
    <w:p w14:paraId="2D78EFEF" w14:textId="0963DFC8" w:rsidR="00FD4817" w:rsidRPr="00014665" w:rsidRDefault="00FD4817">
      <w:pPr>
        <w:pStyle w:val="Zhlav"/>
        <w:numPr>
          <w:ilvl w:val="1"/>
          <w:numId w:val="16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107239">
        <w:rPr>
          <w:rFonts w:ascii="Arial" w:hAnsi="Arial" w:cs="Arial"/>
          <w:sz w:val="22"/>
          <w:szCs w:val="22"/>
        </w:rPr>
        <w:t xml:space="preserve">Části </w:t>
      </w:r>
      <w:r w:rsidR="00FF0C21" w:rsidRPr="00014665">
        <w:rPr>
          <w:rFonts w:ascii="Arial" w:hAnsi="Arial" w:cs="Arial"/>
          <w:sz w:val="22"/>
          <w:szCs w:val="22"/>
        </w:rPr>
        <w:t>Díl</w:t>
      </w:r>
      <w:r w:rsidR="00107239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bud</w:t>
      </w:r>
      <w:r w:rsidR="00107239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předán</w:t>
      </w:r>
      <w:r w:rsidR="00107239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8468CA">
        <w:rPr>
          <w:rFonts w:ascii="Arial" w:hAnsi="Arial" w:cs="Arial"/>
          <w:sz w:val="22"/>
          <w:szCs w:val="22"/>
        </w:rPr>
        <w:t>Benešova 97, 284 01 Kutná Hora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077E16DE" w:rsidR="00EF4E56" w:rsidRPr="00014665" w:rsidRDefault="00EF4E5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107239">
        <w:rPr>
          <w:rFonts w:ascii="Arial" w:hAnsi="Arial" w:cs="Arial"/>
          <w:sz w:val="22"/>
          <w:szCs w:val="22"/>
        </w:rPr>
        <w:t>Části</w:t>
      </w:r>
      <w:r w:rsidR="00F316D0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Díl</w:t>
      </w:r>
      <w:r w:rsidR="00F316D0">
        <w:rPr>
          <w:rFonts w:ascii="Arial" w:hAnsi="Arial" w:cs="Arial"/>
          <w:sz w:val="22"/>
          <w:szCs w:val="22"/>
        </w:rPr>
        <w:t>a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>
      <w:pPr>
        <w:pStyle w:val="Odstavecseseznamem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2D63FAA0" w:rsidR="00545EC8" w:rsidRPr="00014665" w:rsidRDefault="7ABB071E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567EFBFF" w:rsidR="000A1146" w:rsidRPr="00014665" w:rsidRDefault="000A1146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FC48CB">
        <w:rPr>
          <w:rFonts w:ascii="Arial" w:hAnsi="Arial" w:cs="Arial"/>
          <w:sz w:val="22"/>
          <w:szCs w:val="22"/>
        </w:rPr>
        <w:t xml:space="preserve">14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>
      <w:pPr>
        <w:pStyle w:val="Zkladntextodsazen2"/>
        <w:numPr>
          <w:ilvl w:val="1"/>
          <w:numId w:val="1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>
      <w:pPr>
        <w:pStyle w:val="Zkladntextodsazen2"/>
        <w:numPr>
          <w:ilvl w:val="1"/>
          <w:numId w:val="17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>
      <w:pPr>
        <w:pStyle w:val="Zkladntextodsazen2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>
      <w:pPr>
        <w:pStyle w:val="Zhlav"/>
        <w:numPr>
          <w:ilvl w:val="1"/>
          <w:numId w:val="10"/>
        </w:numPr>
        <w:tabs>
          <w:tab w:val="clear" w:pos="4536"/>
          <w:tab w:val="clear" w:pos="9072"/>
        </w:tabs>
        <w:spacing w:before="120"/>
        <w:ind w:left="573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81E6665" w:rsidR="0000200D" w:rsidRPr="00014665" w:rsidRDefault="056B15BA" w:rsidP="002D3470">
      <w:pPr>
        <w:spacing w:before="0"/>
        <w:ind w:left="573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lastRenderedPageBreak/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FC48CB">
        <w:rPr>
          <w:rFonts w:ascii="Arial" w:hAnsi="Arial" w:cs="Arial"/>
          <w:b/>
          <w:bCs/>
          <w:sz w:val="22"/>
          <w:szCs w:val="22"/>
        </w:rPr>
        <w:t>51</w:t>
      </w:r>
      <w:r w:rsidR="003B4DAE">
        <w:rPr>
          <w:rFonts w:ascii="Arial" w:hAnsi="Arial" w:cs="Arial"/>
          <w:b/>
          <w:bCs/>
          <w:sz w:val="22"/>
          <w:szCs w:val="22"/>
        </w:rPr>
        <w:t>7</w:t>
      </w:r>
      <w:r w:rsidR="00FC48CB">
        <w:rPr>
          <w:rFonts w:ascii="Arial" w:hAnsi="Arial" w:cs="Arial"/>
          <w:b/>
          <w:bCs/>
          <w:sz w:val="22"/>
          <w:szCs w:val="22"/>
        </w:rPr>
        <w:t> </w:t>
      </w:r>
      <w:r w:rsidRPr="00014665">
        <w:rPr>
          <w:rFonts w:ascii="Arial" w:hAnsi="Arial" w:cs="Arial"/>
          <w:b/>
          <w:bCs/>
          <w:sz w:val="22"/>
          <w:szCs w:val="22"/>
        </w:rPr>
        <w:t>MJ)</w:t>
      </w:r>
    </w:p>
    <w:p w14:paraId="09D6EA80" w14:textId="77777777" w:rsidR="00D1658F" w:rsidRPr="00014665" w:rsidRDefault="00D1658F" w:rsidP="002D3470">
      <w:pPr>
        <w:spacing w:before="0"/>
        <w:ind w:left="652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- cena za 1 MJ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14EEEFD1" w14:textId="77777777" w:rsidR="00D1658F" w:rsidRPr="00014665" w:rsidRDefault="00D1658F" w:rsidP="002D3470">
      <w:pPr>
        <w:spacing w:before="0"/>
        <w:ind w:left="652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 xml:space="preserve">(pozn.: 1 MJ = 100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2D72EB0F" w14:textId="77777777" w:rsidR="00D1658F" w:rsidRPr="00014665" w:rsidRDefault="00D1658F" w:rsidP="008E4A5B">
      <w:pPr>
        <w:spacing w:before="0"/>
        <w:ind w:left="652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2CB078E4" w14:textId="77777777" w:rsidR="00D1658F" w:rsidRPr="00014665" w:rsidRDefault="00D1658F" w:rsidP="008E4A5B">
      <w:pPr>
        <w:spacing w:before="60" w:after="60"/>
        <w:ind w:left="652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XXXXX Kč </w:t>
      </w:r>
    </w:p>
    <w:p w14:paraId="091A7F86" w14:textId="77777777" w:rsidR="00D1658F" w:rsidRPr="00014665" w:rsidRDefault="00D1658F" w:rsidP="00776375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A7E59C5" w:rsidR="00545EC8" w:rsidRPr="00014665" w:rsidRDefault="4C1B45C5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001248FE">
        <w:rPr>
          <w:rFonts w:ascii="Arial" w:hAnsi="Arial" w:cs="Arial"/>
          <w:sz w:val="22"/>
          <w:szCs w:val="22"/>
        </w:rPr>
        <w:t>)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>
      <w:pPr>
        <w:pStyle w:val="Zkladntext"/>
        <w:numPr>
          <w:ilvl w:val="1"/>
          <w:numId w:val="10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>
      <w:pPr>
        <w:pStyle w:val="Zkladntext"/>
        <w:numPr>
          <w:ilvl w:val="1"/>
          <w:numId w:val="10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>
      <w:pPr>
        <w:pStyle w:val="Odstavecseseznamem"/>
        <w:numPr>
          <w:ilvl w:val="0"/>
          <w:numId w:val="5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73DD2818" w:rsidR="005343E4" w:rsidRPr="00014665" w:rsidRDefault="005343E4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>po odstranění všech vad a nedodělků, a</w:t>
      </w:r>
      <w:r w:rsidR="00A90E4F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43BBC7E" w:rsidR="00545EC8" w:rsidRPr="00014665" w:rsidRDefault="009E0440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2F639E">
        <w:rPr>
          <w:rFonts w:ascii="Arial" w:hAnsi="Arial" w:cs="Arial"/>
          <w:bCs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2F639E">
        <w:rPr>
          <w:rFonts w:ascii="Arial" w:hAnsi="Arial" w:cs="Arial"/>
          <w:bCs/>
          <w:snapToGrid w:val="0"/>
          <w:sz w:val="22"/>
          <w:szCs w:val="22"/>
        </w:rPr>
        <w:t>11a</w:t>
      </w:r>
      <w:proofErr w:type="gramEnd"/>
      <w:r w:rsidR="005343E4" w:rsidRPr="002F639E">
        <w:rPr>
          <w:rFonts w:ascii="Arial" w:hAnsi="Arial" w:cs="Arial"/>
          <w:bCs/>
          <w:snapToGrid w:val="0"/>
          <w:sz w:val="22"/>
          <w:szCs w:val="22"/>
        </w:rPr>
        <w:t xml:space="preserve">, 130 00 Praha 3 – Žižkov a jako dodací adresa bude uvedeno: KPÚ pro </w:t>
      </w:r>
      <w:proofErr w:type="spellStart"/>
      <w:r w:rsidR="001D7266" w:rsidRPr="002F639E">
        <w:rPr>
          <w:rFonts w:ascii="Arial" w:hAnsi="Arial" w:cs="Arial"/>
          <w:bCs/>
          <w:snapToGrid w:val="0"/>
          <w:sz w:val="22"/>
          <w:szCs w:val="22"/>
        </w:rPr>
        <w:t>pro</w:t>
      </w:r>
      <w:proofErr w:type="spellEnd"/>
      <w:r w:rsidR="001D7266" w:rsidRPr="002F639E">
        <w:rPr>
          <w:rFonts w:ascii="Arial" w:hAnsi="Arial" w:cs="Arial"/>
          <w:bCs/>
          <w:snapToGrid w:val="0"/>
          <w:sz w:val="22"/>
          <w:szCs w:val="22"/>
        </w:rPr>
        <w:t xml:space="preserve"> Středočeský kraj a hl. m. Praha, Pobočka Kutná Hora, adresa </w:t>
      </w:r>
      <w:r w:rsidR="001D7266">
        <w:rPr>
          <w:rFonts w:ascii="Arial" w:hAnsi="Arial" w:cs="Arial"/>
          <w:snapToGrid w:val="0"/>
          <w:sz w:val="22"/>
          <w:szCs w:val="22"/>
        </w:rPr>
        <w:t>Benešova 97, 284 01 Kutná Hora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27424B84" w:rsidR="003D05DA" w:rsidRPr="00014665" w:rsidRDefault="009E0440">
      <w:pPr>
        <w:pStyle w:val="Odstavecseseznamem"/>
        <w:numPr>
          <w:ilvl w:val="1"/>
          <w:numId w:val="11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lastRenderedPageBreak/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2F639E">
        <w:rPr>
          <w:rFonts w:ascii="Arial" w:hAnsi="Arial" w:cs="Arial"/>
          <w:bCs/>
          <w:snapToGrid w:val="0"/>
          <w:sz w:val="22"/>
          <w:szCs w:val="22"/>
        </w:rPr>
        <w:t>5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</w:t>
      </w:r>
      <w:r w:rsidR="002F639E">
        <w:rPr>
          <w:rFonts w:ascii="Arial" w:hAnsi="Arial" w:cs="Arial"/>
          <w:bCs/>
          <w:snapToGrid w:val="0"/>
          <w:sz w:val="22"/>
          <w:szCs w:val="22"/>
        </w:rPr>
        <w:t>2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>
      <w:pPr>
        <w:pStyle w:val="Odstavecseseznamem"/>
        <w:numPr>
          <w:ilvl w:val="1"/>
          <w:numId w:val="12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>
      <w:pPr>
        <w:pStyle w:val="11"/>
        <w:numPr>
          <w:ilvl w:val="1"/>
          <w:numId w:val="15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lastRenderedPageBreak/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>
      <w:pPr>
        <w:pStyle w:val="11"/>
        <w:numPr>
          <w:ilvl w:val="1"/>
          <w:numId w:val="12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>
      <w:pPr>
        <w:pStyle w:val="11"/>
        <w:numPr>
          <w:ilvl w:val="1"/>
          <w:numId w:val="12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776375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>
      <w:pPr>
        <w:pStyle w:val="Odstavecseseznamem"/>
        <w:numPr>
          <w:ilvl w:val="1"/>
          <w:numId w:val="13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>
      <w:pPr>
        <w:pStyle w:val="Odstavecseseznamem"/>
        <w:numPr>
          <w:ilvl w:val="1"/>
          <w:numId w:val="13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>
      <w:pPr>
        <w:pStyle w:val="Level2"/>
        <w:numPr>
          <w:ilvl w:val="1"/>
          <w:numId w:val="13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>
      <w:pPr>
        <w:pStyle w:val="11"/>
        <w:numPr>
          <w:ilvl w:val="1"/>
          <w:numId w:val="14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>
      <w:pPr>
        <w:pStyle w:val="11"/>
        <w:numPr>
          <w:ilvl w:val="1"/>
          <w:numId w:val="14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>
      <w:pPr>
        <w:pStyle w:val="11"/>
        <w:numPr>
          <w:ilvl w:val="1"/>
          <w:numId w:val="13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 xml:space="preserve">Objednatel je oprávněn plnění povinností uvedených v bodu 9.11. Smlouvy kdykoliv kontrolovat, a to i bez předchozího ohlášení Zhotoviteli. Je-li k provedení kontroly </w:t>
      </w:r>
      <w:r w:rsidRPr="00014665">
        <w:rPr>
          <w:rFonts w:ascii="Arial" w:eastAsia="Arial" w:hAnsi="Arial" w:cs="Arial"/>
          <w:color w:val="auto"/>
          <w:sz w:val="22"/>
          <w:szCs w:val="22"/>
        </w:rPr>
        <w:lastRenderedPageBreak/>
        <w:t>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2DAE9D51" w:rsidR="0091238B" w:rsidRPr="00014665" w:rsidRDefault="0091238B">
      <w:pPr>
        <w:pStyle w:val="Odstavecseseznamem"/>
        <w:numPr>
          <w:ilvl w:val="1"/>
          <w:numId w:val="18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</w:t>
      </w:r>
      <w:r w:rsidR="0077637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>“) a zákonem č.</w:t>
      </w:r>
      <w:r w:rsidR="00776375">
        <w:rPr>
          <w:rFonts w:ascii="Arial" w:hAnsi="Arial" w:cs="Arial"/>
          <w:sz w:val="22"/>
          <w:szCs w:val="22"/>
        </w:rPr>
        <w:t> 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>
      <w:pPr>
        <w:pStyle w:val="Odstavecseseznamem"/>
        <w:numPr>
          <w:ilvl w:val="1"/>
          <w:numId w:val="18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11057AB7" w:rsidR="00145065" w:rsidRPr="00014665" w:rsidRDefault="00F52852">
      <w:pPr>
        <w:pStyle w:val="Odstavecseseznamem"/>
        <w:numPr>
          <w:ilvl w:val="1"/>
          <w:numId w:val="18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 jako povinný subjekt musí na žádost poskytnout informace podle zákona č. 106/1999 Sb., o svobodném přístupu k</w:t>
      </w:r>
      <w:r w:rsidR="0077637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04E37F36" w:rsidR="00B817EB" w:rsidRPr="00014665" w:rsidRDefault="00B817EB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okrese.</w:t>
      </w:r>
    </w:p>
    <w:p w14:paraId="033BBD35" w14:textId="77777777" w:rsidR="00353BAC" w:rsidRPr="00014665" w:rsidRDefault="00353BAC">
      <w:pPr>
        <w:pStyle w:val="Odstavecseseznamem"/>
        <w:numPr>
          <w:ilvl w:val="1"/>
          <w:numId w:val="19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5256FFA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E45793">
        <w:rPr>
          <w:rFonts w:ascii="Arial" w:hAnsi="Arial" w:cs="Arial"/>
          <w:sz w:val="22"/>
          <w:szCs w:val="22"/>
        </w:rPr>
        <w:t>Kutná Hora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6E9B2B92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A47C7CA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E45793">
        <w:rPr>
          <w:rFonts w:ascii="Arial" w:hAnsi="Arial" w:cs="Arial"/>
          <w:sz w:val="22"/>
          <w:szCs w:val="22"/>
        </w:rPr>
        <w:t>Ing. Mariana Poborská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4D6DA987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E45793">
        <w:rPr>
          <w:rFonts w:ascii="Arial" w:hAnsi="Arial" w:cs="Arial"/>
          <w:sz w:val="22"/>
          <w:szCs w:val="22"/>
        </w:rPr>
        <w:t>vedoucí pobočky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282827">
      <w:headerReference w:type="default" r:id="rId13"/>
      <w:footerReference w:type="default" r:id="rId14"/>
      <w:headerReference w:type="first" r:id="rId15"/>
      <w:pgSz w:w="11906" w:h="16838"/>
      <w:pgMar w:top="1276" w:right="1417" w:bottom="1417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2D1D1" w14:textId="77777777" w:rsidR="00AF69DC" w:rsidRDefault="00AF69DC" w:rsidP="003C2E23">
      <w:pPr>
        <w:spacing w:before="0"/>
      </w:pPr>
      <w:r>
        <w:separator/>
      </w:r>
    </w:p>
  </w:endnote>
  <w:endnote w:type="continuationSeparator" w:id="0">
    <w:p w14:paraId="1107E1D3" w14:textId="77777777" w:rsidR="00AF69DC" w:rsidRDefault="00AF69D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45B66" w14:textId="77777777" w:rsidR="00AF69DC" w:rsidRDefault="00AF69DC" w:rsidP="003C2E23">
      <w:pPr>
        <w:spacing w:before="0"/>
      </w:pPr>
      <w:r>
        <w:separator/>
      </w:r>
    </w:p>
  </w:footnote>
  <w:footnote w:type="continuationSeparator" w:id="0">
    <w:p w14:paraId="39CF5486" w14:textId="77777777" w:rsidR="00AF69DC" w:rsidRDefault="00AF69D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51C1B87C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9668AC">
      <w:rPr>
        <w:rFonts w:ascii="Arial" w:hAnsi="Arial" w:cs="Arial"/>
        <w:sz w:val="16"/>
        <w:szCs w:val="16"/>
      </w:rPr>
      <w:t xml:space="preserve">po </w:t>
    </w:r>
    <w:proofErr w:type="spellStart"/>
    <w:r w:rsidR="009668AC">
      <w:rPr>
        <w:rFonts w:ascii="Arial" w:hAnsi="Arial" w:cs="Arial"/>
        <w:sz w:val="16"/>
        <w:szCs w:val="16"/>
      </w:rPr>
      <w:t>KoPÚ</w:t>
    </w:r>
    <w:proofErr w:type="spellEnd"/>
    <w:r w:rsidR="009668AC">
      <w:rPr>
        <w:rFonts w:ascii="Arial" w:hAnsi="Arial" w:cs="Arial"/>
        <w:sz w:val="16"/>
        <w:szCs w:val="16"/>
      </w:rPr>
      <w:t xml:space="preserve"> 2023 – okres Kutná Hora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86E8C02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C658E3">
      <w:rPr>
        <w:rFonts w:ascii="Arial" w:hAnsi="Arial" w:cs="Arial"/>
        <w:sz w:val="16"/>
        <w:szCs w:val="16"/>
      </w:rPr>
      <w:t>2023 – okres Kutná Hora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6483"/>
    <w:multiLevelType w:val="multilevel"/>
    <w:tmpl w:val="B0E60AE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2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89354C0"/>
    <w:multiLevelType w:val="multilevel"/>
    <w:tmpl w:val="4C34F5F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EB5ED1"/>
    <w:multiLevelType w:val="multilevel"/>
    <w:tmpl w:val="0866A472"/>
    <w:numStyleLink w:val="smouva"/>
  </w:abstractNum>
  <w:abstractNum w:abstractNumId="1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2D1E09"/>
    <w:multiLevelType w:val="multilevel"/>
    <w:tmpl w:val="25B29ADE"/>
    <w:lvl w:ilvl="0">
      <w:start w:val="4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7B65290A"/>
    <w:multiLevelType w:val="multilevel"/>
    <w:tmpl w:val="549404AE"/>
    <w:lvl w:ilvl="0">
      <w:start w:val="4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80769674">
    <w:abstractNumId w:val="2"/>
  </w:num>
  <w:num w:numId="2" w16cid:durableId="1116751270">
    <w:abstractNumId w:val="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" w16cid:durableId="703361804">
    <w:abstractNumId w:val="10"/>
  </w:num>
  <w:num w:numId="4" w16cid:durableId="1000623667">
    <w:abstractNumId w:val="7"/>
  </w:num>
  <w:num w:numId="5" w16cid:durableId="895507397">
    <w:abstractNumId w:val="3"/>
  </w:num>
  <w:num w:numId="6" w16cid:durableId="2006280274">
    <w:abstractNumId w:val="15"/>
  </w:num>
  <w:num w:numId="7" w16cid:durableId="958727959">
    <w:abstractNumId w:val="1"/>
  </w:num>
  <w:num w:numId="8" w16cid:durableId="825558350">
    <w:abstractNumId w:val="12"/>
  </w:num>
  <w:num w:numId="9" w16cid:durableId="1593123584">
    <w:abstractNumId w:val="3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86526174">
    <w:abstractNumId w:val="11"/>
  </w:num>
  <w:num w:numId="11" w16cid:durableId="1561358517">
    <w:abstractNumId w:val="3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68733556">
    <w:abstractNumId w:val="5"/>
  </w:num>
  <w:num w:numId="13" w16cid:durableId="444007765">
    <w:abstractNumId w:val="13"/>
  </w:num>
  <w:num w:numId="14" w16cid:durableId="96604194">
    <w:abstractNumId w:val="8"/>
  </w:num>
  <w:num w:numId="15" w16cid:durableId="719326364">
    <w:abstractNumId w:val="6"/>
  </w:num>
  <w:num w:numId="16" w16cid:durableId="921643638">
    <w:abstractNumId w:val="0"/>
  </w:num>
  <w:num w:numId="17" w16cid:durableId="1800024571">
    <w:abstractNumId w:val="4"/>
  </w:num>
  <w:num w:numId="18" w16cid:durableId="1856378046">
    <w:abstractNumId w:val="16"/>
  </w:num>
  <w:num w:numId="19" w16cid:durableId="1815482744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07FF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2893"/>
    <w:rsid w:val="000C2C3E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07239"/>
    <w:rsid w:val="001100DA"/>
    <w:rsid w:val="0011204B"/>
    <w:rsid w:val="00114696"/>
    <w:rsid w:val="00114738"/>
    <w:rsid w:val="001179D9"/>
    <w:rsid w:val="001248FE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0B6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C0153"/>
    <w:rsid w:val="001D05E9"/>
    <w:rsid w:val="001D7266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0602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2827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470"/>
    <w:rsid w:val="002D3FE6"/>
    <w:rsid w:val="002D42B2"/>
    <w:rsid w:val="002E1025"/>
    <w:rsid w:val="002E31BE"/>
    <w:rsid w:val="002E548E"/>
    <w:rsid w:val="002E621C"/>
    <w:rsid w:val="002E7C14"/>
    <w:rsid w:val="002F173C"/>
    <w:rsid w:val="002F639E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2AB2"/>
    <w:rsid w:val="003A3E8B"/>
    <w:rsid w:val="003A6840"/>
    <w:rsid w:val="003B1DCA"/>
    <w:rsid w:val="003B3838"/>
    <w:rsid w:val="003B4DAE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0374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6D81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4B22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5621A"/>
    <w:rsid w:val="00662DB9"/>
    <w:rsid w:val="006650CF"/>
    <w:rsid w:val="00667744"/>
    <w:rsid w:val="00670D1F"/>
    <w:rsid w:val="006725F5"/>
    <w:rsid w:val="00674AF3"/>
    <w:rsid w:val="00681860"/>
    <w:rsid w:val="006902C6"/>
    <w:rsid w:val="006A108E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6F69"/>
    <w:rsid w:val="00747E60"/>
    <w:rsid w:val="00754188"/>
    <w:rsid w:val="00756A51"/>
    <w:rsid w:val="007655CE"/>
    <w:rsid w:val="00766EB8"/>
    <w:rsid w:val="00776351"/>
    <w:rsid w:val="00776375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413"/>
    <w:rsid w:val="007C4D0C"/>
    <w:rsid w:val="007D4920"/>
    <w:rsid w:val="007E24DE"/>
    <w:rsid w:val="007E7A67"/>
    <w:rsid w:val="007F1FD6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468CA"/>
    <w:rsid w:val="0085340C"/>
    <w:rsid w:val="00857A74"/>
    <w:rsid w:val="00864FCE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5C7"/>
    <w:rsid w:val="008D4E25"/>
    <w:rsid w:val="008D5DAE"/>
    <w:rsid w:val="008E4A5B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668AC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31714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0E4F"/>
    <w:rsid w:val="00A96092"/>
    <w:rsid w:val="00A961A9"/>
    <w:rsid w:val="00AA00B5"/>
    <w:rsid w:val="00AA0AE0"/>
    <w:rsid w:val="00AA4082"/>
    <w:rsid w:val="00AA7603"/>
    <w:rsid w:val="00AB1259"/>
    <w:rsid w:val="00AB2182"/>
    <w:rsid w:val="00AB441E"/>
    <w:rsid w:val="00AC1E90"/>
    <w:rsid w:val="00AC2F05"/>
    <w:rsid w:val="00AC4BA8"/>
    <w:rsid w:val="00AD09BB"/>
    <w:rsid w:val="00AD5AD9"/>
    <w:rsid w:val="00AD699E"/>
    <w:rsid w:val="00AF0F3B"/>
    <w:rsid w:val="00AF0FAA"/>
    <w:rsid w:val="00AF1651"/>
    <w:rsid w:val="00AF265D"/>
    <w:rsid w:val="00AF69DC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393"/>
    <w:rsid w:val="00B654CB"/>
    <w:rsid w:val="00B721A9"/>
    <w:rsid w:val="00B7660C"/>
    <w:rsid w:val="00B768A0"/>
    <w:rsid w:val="00B76B83"/>
    <w:rsid w:val="00B817EB"/>
    <w:rsid w:val="00B82087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58E3"/>
    <w:rsid w:val="00C67EAB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2D8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658F"/>
    <w:rsid w:val="00D172A1"/>
    <w:rsid w:val="00D3488C"/>
    <w:rsid w:val="00D34B0D"/>
    <w:rsid w:val="00D35738"/>
    <w:rsid w:val="00D42D02"/>
    <w:rsid w:val="00D44B76"/>
    <w:rsid w:val="00D5386D"/>
    <w:rsid w:val="00D6451F"/>
    <w:rsid w:val="00D64BCC"/>
    <w:rsid w:val="00D6631A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2330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5793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C24B5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16D0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C48CB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4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3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6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6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6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6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6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6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7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11</Pages>
  <Words>4844</Words>
  <Characters>28584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Burýšková Veronika Ing.</cp:lastModifiedBy>
  <cp:revision>23</cp:revision>
  <cp:lastPrinted>2019-05-02T06:41:00Z</cp:lastPrinted>
  <dcterms:created xsi:type="dcterms:W3CDTF">2023-08-28T07:57:00Z</dcterms:created>
  <dcterms:modified xsi:type="dcterms:W3CDTF">2023-08-30T07:07:00Z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